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79592D" w:rsidP="004554EC">
      <w:pPr>
        <w:tabs>
          <w:tab w:val="center" w:pos="4819"/>
        </w:tabs>
        <w:rPr>
          <w:sz w:val="16"/>
          <w:szCs w:val="16"/>
        </w:rPr>
      </w:pPr>
      <w:r w:rsidRPr="0079592D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79592D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AA372E">
                    <w:rPr>
                      <w:sz w:val="24"/>
                    </w:rPr>
                    <w:t>14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D70079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20</w:t>
                  </w:r>
                  <w:r w:rsidR="00F33D58">
                    <w:rPr>
                      <w:sz w:val="24"/>
                    </w:rPr>
                    <w:t>2</w:t>
                  </w:r>
                  <w:r w:rsidR="00F947EC">
                    <w:rPr>
                      <w:sz w:val="24"/>
                    </w:rPr>
                    <w:t>2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AA372E">
                    <w:rPr>
                      <w:sz w:val="24"/>
                    </w:rPr>
                    <w:t xml:space="preserve"> 38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муниципальной Программы 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« Благоустройство </w:t>
      </w:r>
      <w:r w:rsidR="00A1430A">
        <w:rPr>
          <w:color w:val="000000"/>
          <w:sz w:val="24"/>
          <w:szCs w:val="24"/>
        </w:rPr>
        <w:t xml:space="preserve">населенных пунктов </w:t>
      </w:r>
    </w:p>
    <w:p w:rsidR="00D6598E" w:rsidRPr="00D6598E" w:rsidRDefault="00F33D58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5B2FB4">
        <w:rPr>
          <w:color w:val="000000"/>
          <w:sz w:val="24"/>
          <w:szCs w:val="24"/>
        </w:rPr>
        <w:t>улзинского</w:t>
      </w:r>
      <w:r w:rsidR="00D6598E">
        <w:rPr>
          <w:color w:val="000000"/>
          <w:sz w:val="24"/>
          <w:szCs w:val="24"/>
        </w:rPr>
        <w:t xml:space="preserve"> </w:t>
      </w:r>
      <w:r w:rsidR="00D6598E"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Каслинского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704934">
        <w:rPr>
          <w:color w:val="000000"/>
          <w:sz w:val="24"/>
          <w:szCs w:val="24"/>
        </w:rPr>
        <w:t>202</w:t>
      </w:r>
      <w:r w:rsidR="00F947EC">
        <w:rPr>
          <w:color w:val="000000"/>
          <w:sz w:val="24"/>
          <w:szCs w:val="24"/>
        </w:rPr>
        <w:t>3</w:t>
      </w:r>
      <w:r w:rsidR="00704934">
        <w:rPr>
          <w:color w:val="000000"/>
          <w:sz w:val="24"/>
          <w:szCs w:val="24"/>
        </w:rPr>
        <w:t>-202</w:t>
      </w:r>
      <w:r w:rsidR="00F947EC">
        <w:rPr>
          <w:color w:val="000000"/>
          <w:sz w:val="24"/>
          <w:szCs w:val="24"/>
        </w:rPr>
        <w:t>5</w:t>
      </w:r>
      <w:r w:rsidRPr="00D6598E">
        <w:rPr>
          <w:color w:val="000000"/>
          <w:sz w:val="24"/>
          <w:szCs w:val="24"/>
        </w:rPr>
        <w:t xml:space="preserve"> годы 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 Каслинского муниципального района на </w:t>
      </w:r>
      <w:r w:rsidR="00704934">
        <w:rPr>
          <w:sz w:val="24"/>
          <w:szCs w:val="24"/>
        </w:rPr>
        <w:t>202</w:t>
      </w:r>
      <w:r w:rsidR="00AA372E">
        <w:rPr>
          <w:sz w:val="24"/>
          <w:szCs w:val="24"/>
        </w:rPr>
        <w:t>3</w:t>
      </w:r>
      <w:r w:rsidR="00704934">
        <w:rPr>
          <w:sz w:val="24"/>
          <w:szCs w:val="24"/>
        </w:rPr>
        <w:t>-202</w:t>
      </w:r>
      <w:r w:rsidR="00AA372E">
        <w:rPr>
          <w:sz w:val="24"/>
          <w:szCs w:val="24"/>
        </w:rPr>
        <w:t>5</w:t>
      </w:r>
      <w:r w:rsidRPr="00D6598E">
        <w:rPr>
          <w:sz w:val="24"/>
          <w:szCs w:val="24"/>
        </w:rPr>
        <w:t xml:space="preserve"> годы</w:t>
      </w:r>
      <w:r w:rsidR="00A1430A">
        <w:rPr>
          <w:sz w:val="24"/>
          <w:szCs w:val="24"/>
        </w:rPr>
        <w:t>»</w:t>
      </w:r>
      <w:r w:rsidRPr="00D6598E">
        <w:rPr>
          <w:sz w:val="24"/>
          <w:szCs w:val="24"/>
        </w:rPr>
        <w:t xml:space="preserve">   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F947EC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512B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  <w:r w:rsidR="0023512B">
        <w:rPr>
          <w:sz w:val="24"/>
          <w:szCs w:val="24"/>
        </w:rPr>
        <w:t xml:space="preserve"> </w:t>
      </w:r>
      <w:r w:rsidR="00F33D58">
        <w:rPr>
          <w:sz w:val="24"/>
          <w:szCs w:val="24"/>
        </w:rPr>
        <w:t>Б</w:t>
      </w:r>
      <w:r w:rsidR="0023512B">
        <w:rPr>
          <w:sz w:val="24"/>
          <w:szCs w:val="24"/>
        </w:rPr>
        <w:t>улзинского</w:t>
      </w:r>
      <w:r w:rsidRPr="0033592D">
        <w:rPr>
          <w:sz w:val="24"/>
          <w:szCs w:val="24"/>
        </w:rPr>
        <w:t xml:space="preserve"> </w:t>
      </w: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 xml:space="preserve">сельского поселения                                                              </w:t>
      </w:r>
      <w:r w:rsidR="0023512B">
        <w:rPr>
          <w:sz w:val="24"/>
          <w:szCs w:val="24"/>
        </w:rPr>
        <w:t xml:space="preserve">                                 </w:t>
      </w:r>
      <w:r w:rsidRPr="0033592D">
        <w:rPr>
          <w:sz w:val="24"/>
          <w:szCs w:val="24"/>
        </w:rPr>
        <w:t xml:space="preserve">   </w:t>
      </w:r>
      <w:r w:rsidR="00F33D58"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23512B" w:rsidRDefault="0023512B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23512B" w:rsidRDefault="0023512B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23512B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D6598E" w:rsidRPr="00D6598E">
        <w:rPr>
          <w:sz w:val="24"/>
          <w:szCs w:val="24"/>
        </w:rPr>
        <w:t xml:space="preserve"> </w:t>
      </w:r>
    </w:p>
    <w:p w:rsidR="00A1430A" w:rsidRDefault="0023512B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1430A"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A1430A"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="00AA372E">
        <w:rPr>
          <w:sz w:val="24"/>
          <w:szCs w:val="24"/>
        </w:rPr>
        <w:t>улзинского сельского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Default="00AA372E" w:rsidP="00D6598E">
      <w:pPr>
        <w:autoSpaceDE w:val="0"/>
        <w:autoSpaceDN w:val="0"/>
        <w:adjustRightInd w:val="0"/>
        <w:jc w:val="right"/>
      </w:pPr>
      <w:r>
        <w:rPr>
          <w:sz w:val="24"/>
        </w:rPr>
        <w:t>от</w:t>
      </w:r>
      <w:r w:rsidRPr="007B17E2">
        <w:rPr>
          <w:sz w:val="24"/>
        </w:rPr>
        <w:t xml:space="preserve"> </w:t>
      </w:r>
      <w:r>
        <w:rPr>
          <w:sz w:val="24"/>
        </w:rPr>
        <w:t>«14» декабря 2022 г. № 38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>« БЛАГОУСТРОЙСТВО НАСЕЛЕННЫХ ПУНКТОВ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704934">
        <w:t>202</w:t>
      </w:r>
      <w:r w:rsidR="00F947EC">
        <w:t>3</w:t>
      </w:r>
      <w:r w:rsidR="00704934">
        <w:t>-202</w:t>
      </w:r>
      <w:r w:rsidR="00F947EC">
        <w:t>5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AA37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населенных пунктов 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Каслинского муниципального района на 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37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A37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704934" w:rsidP="00F947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1011,6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D6D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D6D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EC">
              <w:rPr>
                <w:rFonts w:ascii="Times New Roman" w:hAnsi="Times New Roman" w:cs="Times New Roman"/>
                <w:sz w:val="24"/>
                <w:szCs w:val="24"/>
              </w:rPr>
              <w:t>1011,6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3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D6D"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AA37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3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D6D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r w:rsidR="00F33D58">
        <w:rPr>
          <w:sz w:val="24"/>
          <w:szCs w:val="24"/>
        </w:rPr>
        <w:t>Булзинского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обрезка деревьев - </w:t>
      </w:r>
      <w:r w:rsidR="00961000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дер.;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851"/>
        <w:gridCol w:w="850"/>
        <w:gridCol w:w="709"/>
        <w:gridCol w:w="850"/>
        <w:gridCol w:w="709"/>
        <w:gridCol w:w="709"/>
        <w:gridCol w:w="709"/>
      </w:tblGrid>
      <w:tr w:rsidR="00D6598E" w:rsidTr="00F947E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F947EC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F947E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F947E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F947E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CE4A15" w:rsidTr="00F947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9B265B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47EC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3FC2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F93FC2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F947EC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F93FC2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Default="00F93FC2" w:rsidP="00200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334,3</w:t>
            </w:r>
          </w:p>
          <w:p w:rsidR="00CE4A15" w:rsidRPr="009356B2" w:rsidRDefault="00CE4A15" w:rsidP="00200F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704934">
        <w:rPr>
          <w:sz w:val="24"/>
          <w:szCs w:val="24"/>
        </w:rPr>
        <w:t>202</w:t>
      </w:r>
      <w:r w:rsidR="00F947EC">
        <w:rPr>
          <w:sz w:val="24"/>
          <w:szCs w:val="24"/>
        </w:rPr>
        <w:t>3</w:t>
      </w:r>
      <w:r w:rsidR="00704934">
        <w:rPr>
          <w:sz w:val="24"/>
          <w:szCs w:val="24"/>
        </w:rPr>
        <w:t>-202</w:t>
      </w:r>
      <w:r w:rsidR="00F947EC">
        <w:rPr>
          <w:sz w:val="24"/>
          <w:szCs w:val="24"/>
        </w:rPr>
        <w:t>5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основании утвержденных на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F947EC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33592D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23512B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  <w:r w:rsidR="0023512B">
        <w:rPr>
          <w:sz w:val="24"/>
          <w:szCs w:val="24"/>
        </w:rPr>
        <w:t xml:space="preserve"> </w:t>
      </w:r>
      <w:r w:rsidR="00F33D58">
        <w:rPr>
          <w:sz w:val="24"/>
          <w:szCs w:val="24"/>
        </w:rPr>
        <w:t>Булзинского</w:t>
      </w:r>
      <w:r w:rsidRPr="0033592D">
        <w:rPr>
          <w:sz w:val="24"/>
          <w:szCs w:val="24"/>
        </w:rPr>
        <w:t xml:space="preserve"> </w:t>
      </w:r>
    </w:p>
    <w:p w:rsidR="0033592D" w:rsidRPr="0033592D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 xml:space="preserve">сельского поселения               </w:t>
      </w:r>
      <w:r>
        <w:rPr>
          <w:sz w:val="24"/>
          <w:szCs w:val="24"/>
        </w:rPr>
        <w:t xml:space="preserve">          </w:t>
      </w:r>
      <w:r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</w:t>
      </w:r>
      <w:r w:rsidR="0023512B">
        <w:rPr>
          <w:sz w:val="24"/>
          <w:szCs w:val="24"/>
        </w:rPr>
        <w:t xml:space="preserve">                          </w:t>
      </w:r>
      <w:r w:rsidR="00275F01">
        <w:rPr>
          <w:sz w:val="24"/>
          <w:szCs w:val="24"/>
        </w:rPr>
        <w:t xml:space="preserve">  А.</w:t>
      </w:r>
      <w:r w:rsidR="00F33D58">
        <w:rPr>
          <w:sz w:val="24"/>
          <w:szCs w:val="24"/>
        </w:rPr>
        <w:t>Р.Титов</w:t>
      </w: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D5" w:rsidRDefault="00757DD5" w:rsidP="009356B2">
      <w:r>
        <w:separator/>
      </w:r>
    </w:p>
  </w:endnote>
  <w:endnote w:type="continuationSeparator" w:id="0">
    <w:p w:rsidR="00757DD5" w:rsidRDefault="00757DD5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D5" w:rsidRDefault="00757DD5" w:rsidP="009356B2">
      <w:r>
        <w:separator/>
      </w:r>
    </w:p>
  </w:footnote>
  <w:footnote w:type="continuationSeparator" w:id="0">
    <w:p w:rsidR="00757DD5" w:rsidRDefault="00757DD5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2D08"/>
    <w:rsid w:val="0008510A"/>
    <w:rsid w:val="000C38CE"/>
    <w:rsid w:val="000C5FF2"/>
    <w:rsid w:val="000C753D"/>
    <w:rsid w:val="000D58A6"/>
    <w:rsid w:val="000E3DB9"/>
    <w:rsid w:val="000F06C5"/>
    <w:rsid w:val="00116CE3"/>
    <w:rsid w:val="0012261E"/>
    <w:rsid w:val="00130C1A"/>
    <w:rsid w:val="00143B99"/>
    <w:rsid w:val="00190296"/>
    <w:rsid w:val="00190B0E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3512B"/>
    <w:rsid w:val="00242B51"/>
    <w:rsid w:val="0025389A"/>
    <w:rsid w:val="00255678"/>
    <w:rsid w:val="0026656D"/>
    <w:rsid w:val="002727F3"/>
    <w:rsid w:val="00275F01"/>
    <w:rsid w:val="00276C68"/>
    <w:rsid w:val="002937C2"/>
    <w:rsid w:val="002B37FD"/>
    <w:rsid w:val="002B535D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E788C"/>
    <w:rsid w:val="003F607D"/>
    <w:rsid w:val="004071F1"/>
    <w:rsid w:val="004213D8"/>
    <w:rsid w:val="004214FC"/>
    <w:rsid w:val="00427573"/>
    <w:rsid w:val="00452200"/>
    <w:rsid w:val="004554EC"/>
    <w:rsid w:val="00456971"/>
    <w:rsid w:val="00467E9F"/>
    <w:rsid w:val="004874EE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52E03"/>
    <w:rsid w:val="00585047"/>
    <w:rsid w:val="005A20D3"/>
    <w:rsid w:val="005A4251"/>
    <w:rsid w:val="005A665D"/>
    <w:rsid w:val="005B2FB4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97120"/>
    <w:rsid w:val="006A60D9"/>
    <w:rsid w:val="006B397D"/>
    <w:rsid w:val="006B7B1C"/>
    <w:rsid w:val="006C0524"/>
    <w:rsid w:val="006F43A3"/>
    <w:rsid w:val="007002DD"/>
    <w:rsid w:val="00704934"/>
    <w:rsid w:val="007248D7"/>
    <w:rsid w:val="00727AF6"/>
    <w:rsid w:val="00745E7C"/>
    <w:rsid w:val="00757DD5"/>
    <w:rsid w:val="00773F1C"/>
    <w:rsid w:val="007941E7"/>
    <w:rsid w:val="0079592D"/>
    <w:rsid w:val="007A48B6"/>
    <w:rsid w:val="007B17E2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6CC3"/>
    <w:rsid w:val="00961000"/>
    <w:rsid w:val="0097454F"/>
    <w:rsid w:val="0097556C"/>
    <w:rsid w:val="009757C7"/>
    <w:rsid w:val="009839DD"/>
    <w:rsid w:val="009A6152"/>
    <w:rsid w:val="009B265B"/>
    <w:rsid w:val="009B2D04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372E"/>
    <w:rsid w:val="00AB0E7A"/>
    <w:rsid w:val="00AC0632"/>
    <w:rsid w:val="00AC5D0E"/>
    <w:rsid w:val="00AE0FE8"/>
    <w:rsid w:val="00AE4541"/>
    <w:rsid w:val="00AF06C4"/>
    <w:rsid w:val="00B40645"/>
    <w:rsid w:val="00B4178A"/>
    <w:rsid w:val="00B43B36"/>
    <w:rsid w:val="00B525BA"/>
    <w:rsid w:val="00B57645"/>
    <w:rsid w:val="00B76F9B"/>
    <w:rsid w:val="00B77E66"/>
    <w:rsid w:val="00BA2500"/>
    <w:rsid w:val="00BA3C29"/>
    <w:rsid w:val="00BA3F27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D2D6F"/>
    <w:rsid w:val="00CD30C8"/>
    <w:rsid w:val="00CE4A15"/>
    <w:rsid w:val="00D30B3E"/>
    <w:rsid w:val="00D33331"/>
    <w:rsid w:val="00D3664B"/>
    <w:rsid w:val="00D42558"/>
    <w:rsid w:val="00D6598E"/>
    <w:rsid w:val="00D70079"/>
    <w:rsid w:val="00D730C9"/>
    <w:rsid w:val="00D82F51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25A38"/>
    <w:rsid w:val="00E535D3"/>
    <w:rsid w:val="00E87E81"/>
    <w:rsid w:val="00EC5D6D"/>
    <w:rsid w:val="00ED1F78"/>
    <w:rsid w:val="00EE55A0"/>
    <w:rsid w:val="00F22BE7"/>
    <w:rsid w:val="00F24D98"/>
    <w:rsid w:val="00F31D79"/>
    <w:rsid w:val="00F33D58"/>
    <w:rsid w:val="00F4484D"/>
    <w:rsid w:val="00F93FC2"/>
    <w:rsid w:val="00F947EC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5</cp:revision>
  <cp:lastPrinted>2017-12-15T07:31:00Z</cp:lastPrinted>
  <dcterms:created xsi:type="dcterms:W3CDTF">2022-12-15T08:52:00Z</dcterms:created>
  <dcterms:modified xsi:type="dcterms:W3CDTF">2022-12-15T09:31:00Z</dcterms:modified>
</cp:coreProperties>
</file>